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59" w:rsidRDefault="00FC3859" w:rsidP="00C847F0">
      <w:pPr>
        <w:tabs>
          <w:tab w:val="left" w:pos="567"/>
          <w:tab w:val="left" w:pos="993"/>
          <w:tab w:val="left" w:pos="1418"/>
          <w:tab w:val="left" w:pos="1701"/>
        </w:tabs>
        <w:rPr>
          <w:rFonts w:cstheme="minorHAnsi"/>
          <w:lang w:val="fr-CA"/>
        </w:rPr>
      </w:pPr>
      <w:bookmarkStart w:id="0" w:name="_GoBack"/>
      <w:bookmarkEnd w:id="0"/>
      <w:r w:rsidRPr="00C847F0">
        <w:rPr>
          <w:rFonts w:ascii="Lucida Sans" w:hAnsi="Lucida Sans" w:cs="Narkisim"/>
          <w:sz w:val="24"/>
          <w:szCs w:val="24"/>
          <w:lang w:val="fr-CA"/>
        </w:rPr>
        <w:t>NOTE :</w:t>
      </w:r>
      <w:r w:rsidRPr="00C847F0">
        <w:rPr>
          <w:rFonts w:ascii="Lucida Sans" w:hAnsi="Lucida Sans" w:cs="Narkisim"/>
          <w:sz w:val="28"/>
          <w:szCs w:val="28"/>
          <w:lang w:val="fr-CA"/>
        </w:rPr>
        <w:t xml:space="preserve"> </w:t>
      </w:r>
      <w:r w:rsidRPr="00C847F0">
        <w:rPr>
          <w:rFonts w:ascii="Lucida Sans" w:hAnsi="Lucida Sans" w:cs="Narkisim"/>
          <w:sz w:val="28"/>
          <w:szCs w:val="28"/>
          <w:lang w:val="fr-CA"/>
        </w:rPr>
        <w:tab/>
      </w:r>
      <w:r w:rsidRPr="00C847F0">
        <w:rPr>
          <w:rFonts w:cstheme="minorHAnsi"/>
          <w:sz w:val="24"/>
          <w:szCs w:val="24"/>
          <w:lang w:val="fr-CA"/>
        </w:rPr>
        <w:t>To file</w:t>
      </w:r>
      <w:r w:rsidRPr="00C847F0">
        <w:rPr>
          <w:lang w:val="fr-CA"/>
        </w:rPr>
        <w:br/>
      </w:r>
      <w:r w:rsidRPr="00C847F0">
        <w:rPr>
          <w:rFonts w:ascii="Lucida Sans" w:hAnsi="Lucida Sans"/>
          <w:sz w:val="20"/>
          <w:szCs w:val="20"/>
          <w:lang w:val="fr-CA"/>
        </w:rPr>
        <w:t>DATE:</w:t>
      </w:r>
      <w:r w:rsidRPr="00C847F0">
        <w:rPr>
          <w:rFonts w:ascii="Lucida Sans" w:hAnsi="Lucida Sans"/>
          <w:sz w:val="20"/>
          <w:szCs w:val="20"/>
          <w:lang w:val="fr-CA"/>
        </w:rPr>
        <w:tab/>
      </w:r>
      <w:r w:rsidRPr="00544322">
        <w:rPr>
          <w:rFonts w:cstheme="minorHAnsi"/>
          <w:lang w:val="fr-CA"/>
        </w:rPr>
        <w:t>June 21, 2011</w:t>
      </w:r>
      <w:r w:rsidRPr="00C847F0">
        <w:rPr>
          <w:rFonts w:ascii="Lucida Sans" w:hAnsi="Lucida Sans"/>
          <w:sz w:val="20"/>
          <w:szCs w:val="20"/>
          <w:lang w:val="fr-CA"/>
        </w:rPr>
        <w:br/>
        <w:t xml:space="preserve">FROM: </w:t>
      </w:r>
      <w:r w:rsidRPr="00C847F0">
        <w:rPr>
          <w:rFonts w:ascii="Lucida Sans" w:hAnsi="Lucida Sans"/>
          <w:sz w:val="20"/>
          <w:szCs w:val="20"/>
          <w:lang w:val="fr-CA"/>
        </w:rPr>
        <w:tab/>
      </w:r>
      <w:r w:rsidRPr="00544322">
        <w:rPr>
          <w:rFonts w:cstheme="minorHAnsi"/>
          <w:lang w:val="fr-CA"/>
        </w:rPr>
        <w:t>Susan Mowers, Bibliothécaire spécialisée en données,</w:t>
      </w:r>
      <w:r w:rsidR="00C847F0" w:rsidRPr="00544322">
        <w:rPr>
          <w:rFonts w:cstheme="minorHAnsi"/>
          <w:lang w:val="fr-CA"/>
        </w:rPr>
        <w:t xml:space="preserve"> </w:t>
      </w:r>
      <w:r w:rsidRPr="00544322">
        <w:rPr>
          <w:rFonts w:cstheme="minorHAnsi"/>
          <w:lang w:val="fr-CA"/>
        </w:rPr>
        <w:t>Centre GSG, Université d’Ottawa</w:t>
      </w:r>
      <w:r w:rsidRPr="00C847F0">
        <w:rPr>
          <w:rFonts w:cstheme="minorHAnsi"/>
          <w:lang w:val="fr-CA"/>
        </w:rPr>
        <w:t xml:space="preserve"> </w:t>
      </w:r>
      <w:r w:rsidRPr="00C847F0">
        <w:rPr>
          <w:lang w:val="fr-CA"/>
        </w:rPr>
        <w:br/>
      </w:r>
      <w:r w:rsidRPr="003569D4">
        <w:rPr>
          <w:rFonts w:ascii="Lucida Sans" w:hAnsi="Lucida Sans"/>
          <w:b/>
          <w:u w:val="single"/>
          <w:lang w:val="fr-CA"/>
        </w:rPr>
        <w:t xml:space="preserve">FILE: </w:t>
      </w:r>
      <w:r w:rsidR="00C847F0" w:rsidRPr="003569D4">
        <w:rPr>
          <w:rFonts w:ascii="Lucida Sans" w:hAnsi="Lucida Sans"/>
          <w:b/>
          <w:u w:val="single"/>
          <w:lang w:val="fr-CA"/>
        </w:rPr>
        <w:tab/>
      </w:r>
      <w:r w:rsidR="003569D4" w:rsidRPr="003569D4">
        <w:rPr>
          <w:rFonts w:ascii="Lucida Sans" w:hAnsi="Lucida Sans"/>
          <w:b/>
          <w:u w:val="single"/>
          <w:lang w:val="fr-CA"/>
        </w:rPr>
        <w:t>Local Best Practice</w:t>
      </w:r>
      <w:r w:rsidR="003569D4" w:rsidRPr="003569D4">
        <w:rPr>
          <w:rFonts w:ascii="Lucida Console" w:hAnsi="Lucida Console"/>
          <w:b/>
          <w:u w:val="single"/>
          <w:lang w:val="fr-CA"/>
        </w:rPr>
        <w:t xml:space="preserve"> for French </w:t>
      </w:r>
      <w:r w:rsidR="003569D4" w:rsidRPr="003569D4">
        <w:rPr>
          <w:rFonts w:ascii="Lucida Console" w:hAnsi="Lucida Console" w:cstheme="minorHAnsi"/>
          <w:b/>
          <w:u w:val="single"/>
          <w:lang w:val="fr-CA"/>
        </w:rPr>
        <w:t>Variable Groups on &lt;odesi&gt;</w:t>
      </w:r>
      <w:r w:rsidR="003569D4">
        <w:rPr>
          <w:rFonts w:cstheme="minorHAnsi"/>
          <w:b/>
          <w:lang w:val="fr-CA"/>
        </w:rPr>
        <w:t xml:space="preserve"> </w:t>
      </w:r>
      <w:r w:rsidRPr="003569D4">
        <w:rPr>
          <w:rFonts w:cstheme="minorHAnsi"/>
          <w:b/>
          <w:lang w:val="fr-CA"/>
        </w:rPr>
        <w:t xml:space="preserve"> </w:t>
      </w:r>
    </w:p>
    <w:p w:rsidR="002231C7" w:rsidRPr="00C847F0" w:rsidRDefault="002231C7" w:rsidP="00C847F0">
      <w:pPr>
        <w:tabs>
          <w:tab w:val="left" w:pos="567"/>
          <w:tab w:val="left" w:pos="993"/>
          <w:tab w:val="left" w:pos="1418"/>
          <w:tab w:val="left" w:pos="1701"/>
        </w:tabs>
        <w:rPr>
          <w:lang w:val="fr-CA"/>
        </w:rPr>
      </w:pPr>
    </w:p>
    <w:p w:rsidR="00FC3859" w:rsidRPr="00C847F0" w:rsidRDefault="00FC3859">
      <w:pPr>
        <w:rPr>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4365"/>
      </w:tblGrid>
      <w:tr w:rsidR="00544322" w:rsidRPr="00B07E06" w:rsidTr="003569D4">
        <w:trPr>
          <w:trHeight w:val="3345"/>
        </w:trPr>
        <w:tc>
          <w:tcPr>
            <w:tcW w:w="4786" w:type="dxa"/>
            <w:vMerge w:val="restart"/>
          </w:tcPr>
          <w:p w:rsidR="00544322" w:rsidRPr="003569D4" w:rsidRDefault="00544322" w:rsidP="002231C7">
            <w:pPr>
              <w:rPr>
                <w:rFonts w:ascii="Lucida Sans" w:hAnsi="Lucida Sans"/>
                <w:b/>
              </w:rPr>
            </w:pPr>
            <w:r w:rsidRPr="003569D4">
              <w:rPr>
                <w:rFonts w:ascii="Lucida Sans" w:hAnsi="Lucida Sans"/>
                <w:b/>
              </w:rPr>
              <w:t>Background:</w:t>
            </w:r>
          </w:p>
          <w:p w:rsidR="00544322" w:rsidRDefault="00544322" w:rsidP="002231C7"/>
          <w:p w:rsidR="00544322" w:rsidRDefault="00544322" w:rsidP="002231C7">
            <w:r>
              <w:t xml:space="preserve">This documents both a briefing today by Metadata Technician, Alexandre Paquet, on standardizing our variable groups to make </w:t>
            </w:r>
            <w:r w:rsidRPr="00FC3859">
              <w:rPr>
                <w:b/>
              </w:rPr>
              <w:t>data retrieval more effective and efficient</w:t>
            </w:r>
            <w:r>
              <w:t xml:space="preserve"> and the outcome.</w:t>
            </w:r>
          </w:p>
          <w:p w:rsidR="00544322" w:rsidRDefault="00544322" w:rsidP="002231C7"/>
          <w:p w:rsidR="00544322" w:rsidRDefault="00544322" w:rsidP="002231C7">
            <w:r>
              <w:t>The General Social Survey (Enqu</w:t>
            </w:r>
            <w:r w:rsidRPr="00FC3859">
              <w:t xml:space="preserve">ête sociale générale) is an example of a survey series </w:t>
            </w:r>
            <w:r>
              <w:t xml:space="preserve">for </w:t>
            </w:r>
            <w:r w:rsidRPr="00FC3859">
              <w:t xml:space="preserve">which </w:t>
            </w:r>
            <w:r>
              <w:t xml:space="preserve">Statistics Canada </w:t>
            </w:r>
            <w:r w:rsidRPr="00FC3859">
              <w:t xml:space="preserve">has </w:t>
            </w:r>
            <w:r>
              <w:t>used</w:t>
            </w:r>
            <w:r w:rsidRPr="00FC3859">
              <w:t xml:space="preserve"> some consi</w:t>
            </w:r>
            <w:r>
              <w:t xml:space="preserve">stency in variable groupings and as many </w:t>
            </w:r>
            <w:r w:rsidRPr="00FC3859">
              <w:t xml:space="preserve"> inconsistencies</w:t>
            </w:r>
            <w:r>
              <w:t>, including groups with over 50 variables</w:t>
            </w:r>
            <w:r w:rsidRPr="00FC3859">
              <w:t>.</w:t>
            </w:r>
            <w:r>
              <w:t xml:space="preserve"> Using Statistics Canada’s variable groups is therefore often a barrier to effective data discovery.</w:t>
            </w:r>
          </w:p>
          <w:p w:rsidR="00544322" w:rsidRDefault="00544322" w:rsidP="002231C7"/>
          <w:p w:rsidR="00544322" w:rsidRPr="003569D4" w:rsidRDefault="00544322" w:rsidP="002231C7">
            <w:pPr>
              <w:rPr>
                <w:b/>
              </w:rPr>
            </w:pPr>
          </w:p>
          <w:p w:rsidR="00544322" w:rsidRPr="003569D4" w:rsidRDefault="00544322" w:rsidP="002231C7">
            <w:pPr>
              <w:rPr>
                <w:rFonts w:ascii="Lucida Sans" w:hAnsi="Lucida Sans"/>
                <w:b/>
              </w:rPr>
            </w:pPr>
            <w:r w:rsidRPr="003569D4">
              <w:rPr>
                <w:rFonts w:ascii="Lucida Sans" w:hAnsi="Lucida Sans"/>
                <w:b/>
              </w:rPr>
              <w:t>Adoption:</w:t>
            </w:r>
          </w:p>
          <w:p w:rsidR="00544322" w:rsidRDefault="00544322" w:rsidP="002231C7"/>
          <w:p w:rsidR="00544322" w:rsidRPr="00544322" w:rsidRDefault="00544322" w:rsidP="00544322">
            <w:r>
              <w:t>The groupings to the right illustrate the convention that we have adopted today to standardize our variable groupings, covering order and names of standard groups.  Groups outside of these standard groups will be ordered alphabetically between : “</w:t>
            </w:r>
            <w:r w:rsidRPr="00544322">
              <w:t>Renseignements géographiques</w:t>
            </w:r>
            <w:r>
              <w:t>” et “Pond</w:t>
            </w:r>
            <w:r w:rsidRPr="00544322">
              <w:t>ération</w:t>
            </w:r>
            <w:r>
              <w:t>”</w:t>
            </w:r>
            <w:r w:rsidRPr="00544322">
              <w:t>.</w:t>
            </w:r>
          </w:p>
          <w:p w:rsidR="00544322" w:rsidRPr="002231C7" w:rsidRDefault="00544322" w:rsidP="00544322">
            <w:pPr>
              <w:rPr>
                <w:rFonts w:ascii="Lucida Sans" w:hAnsi="Lucida Sans"/>
              </w:rPr>
            </w:pPr>
          </w:p>
        </w:tc>
        <w:tc>
          <w:tcPr>
            <w:tcW w:w="425" w:type="dxa"/>
            <w:vMerge w:val="restart"/>
          </w:tcPr>
          <w:p w:rsidR="00544322" w:rsidRPr="00FC3859" w:rsidRDefault="00544322" w:rsidP="002231C7"/>
        </w:tc>
        <w:tc>
          <w:tcPr>
            <w:tcW w:w="4365" w:type="dxa"/>
            <w:shd w:val="clear" w:color="auto" w:fill="F2F2F2" w:themeFill="background1" w:themeFillShade="F2"/>
          </w:tcPr>
          <w:p w:rsidR="00544322" w:rsidRDefault="00544322" w:rsidP="002231C7">
            <w:pPr>
              <w:jc w:val="center"/>
            </w:pPr>
          </w:p>
          <w:p w:rsidR="00544322" w:rsidRPr="003569D4" w:rsidRDefault="00544322" w:rsidP="002231C7">
            <w:pPr>
              <w:jc w:val="center"/>
              <w:rPr>
                <w:sz w:val="28"/>
                <w:szCs w:val="28"/>
              </w:rPr>
            </w:pPr>
          </w:p>
          <w:p w:rsidR="00544322" w:rsidRPr="003569D4" w:rsidRDefault="00544322" w:rsidP="002231C7">
            <w:pPr>
              <w:jc w:val="center"/>
              <w:rPr>
                <w:sz w:val="28"/>
                <w:szCs w:val="28"/>
                <w:lang w:val="fr-CA"/>
              </w:rPr>
            </w:pPr>
            <w:r w:rsidRPr="003569D4">
              <w:rPr>
                <w:sz w:val="28"/>
                <w:szCs w:val="28"/>
                <w:lang w:val="fr-CA"/>
              </w:rPr>
              <w:t>New Practice : Illustration</w:t>
            </w:r>
          </w:p>
          <w:p w:rsidR="00544322" w:rsidRPr="003569D4" w:rsidRDefault="00544322" w:rsidP="002231C7">
            <w:pPr>
              <w:jc w:val="center"/>
              <w:rPr>
                <w:sz w:val="28"/>
                <w:szCs w:val="28"/>
                <w:lang w:val="fr-CA"/>
              </w:rPr>
            </w:pPr>
          </w:p>
          <w:p w:rsidR="00544322" w:rsidRPr="003569D4" w:rsidRDefault="00544322">
            <w:pPr>
              <w:rPr>
                <w:sz w:val="28"/>
                <w:szCs w:val="28"/>
                <w:lang w:val="fr-CA"/>
              </w:rPr>
            </w:pPr>
            <w:r w:rsidRPr="003569D4">
              <w:rPr>
                <w:sz w:val="28"/>
                <w:szCs w:val="28"/>
                <w:lang w:val="fr-CA"/>
              </w:rPr>
              <w:t>Identificateur</w:t>
            </w:r>
          </w:p>
          <w:p w:rsidR="00544322" w:rsidRPr="003569D4" w:rsidRDefault="00544322">
            <w:pPr>
              <w:rPr>
                <w:sz w:val="28"/>
                <w:szCs w:val="28"/>
                <w:lang w:val="fr-CA"/>
              </w:rPr>
            </w:pPr>
            <w:r w:rsidRPr="003569D4">
              <w:rPr>
                <w:sz w:val="28"/>
                <w:szCs w:val="28"/>
                <w:lang w:val="fr-CA"/>
              </w:rPr>
              <w:t>Renseignements démographiques</w:t>
            </w:r>
          </w:p>
          <w:p w:rsidR="00544322" w:rsidRPr="003569D4" w:rsidRDefault="00544322">
            <w:pPr>
              <w:rPr>
                <w:sz w:val="28"/>
                <w:szCs w:val="28"/>
                <w:lang w:val="fr-CA"/>
              </w:rPr>
            </w:pPr>
            <w:r w:rsidRPr="003569D4">
              <w:rPr>
                <w:sz w:val="28"/>
                <w:szCs w:val="28"/>
                <w:lang w:val="fr-CA"/>
              </w:rPr>
              <w:t xml:space="preserve">   Répondant (ou Répondant et ménage)</w:t>
            </w:r>
          </w:p>
          <w:p w:rsidR="00544322" w:rsidRPr="003569D4" w:rsidRDefault="00544322">
            <w:pPr>
              <w:rPr>
                <w:sz w:val="28"/>
                <w:szCs w:val="28"/>
                <w:lang w:val="fr-CA"/>
              </w:rPr>
            </w:pPr>
            <w:r w:rsidRPr="003569D4">
              <w:rPr>
                <w:sz w:val="28"/>
                <w:szCs w:val="28"/>
                <w:lang w:val="fr-CA"/>
              </w:rPr>
              <w:t xml:space="preserve">   Conjoint</w:t>
            </w:r>
          </w:p>
          <w:p w:rsidR="00544322" w:rsidRPr="003569D4" w:rsidRDefault="00544322">
            <w:pPr>
              <w:rPr>
                <w:sz w:val="28"/>
                <w:szCs w:val="28"/>
                <w:lang w:val="fr-CA"/>
              </w:rPr>
            </w:pPr>
            <w:r w:rsidRPr="003569D4">
              <w:rPr>
                <w:sz w:val="28"/>
                <w:szCs w:val="28"/>
                <w:lang w:val="fr-CA"/>
              </w:rPr>
              <w:t xml:space="preserve">   Parents</w:t>
            </w:r>
          </w:p>
          <w:p w:rsidR="00544322" w:rsidRPr="003569D4" w:rsidRDefault="00544322">
            <w:pPr>
              <w:rPr>
                <w:sz w:val="28"/>
                <w:szCs w:val="28"/>
                <w:lang w:val="fr-CA"/>
              </w:rPr>
            </w:pPr>
            <w:r w:rsidRPr="003569D4">
              <w:rPr>
                <w:sz w:val="28"/>
                <w:szCs w:val="28"/>
                <w:lang w:val="fr-CA"/>
              </w:rPr>
              <w:t>Renseignements géographiques</w:t>
            </w:r>
          </w:p>
          <w:p w:rsidR="00544322" w:rsidRPr="003569D4" w:rsidRDefault="00544322">
            <w:pPr>
              <w:rPr>
                <w:sz w:val="28"/>
                <w:szCs w:val="28"/>
                <w:lang w:val="fr-CA"/>
              </w:rPr>
            </w:pPr>
            <w:r w:rsidRPr="003569D4">
              <w:rPr>
                <w:sz w:val="28"/>
                <w:szCs w:val="28"/>
                <w:lang w:val="fr-CA"/>
              </w:rPr>
              <w:t>Éducation</w:t>
            </w:r>
          </w:p>
          <w:p w:rsidR="00544322" w:rsidRPr="003569D4" w:rsidRDefault="00544322">
            <w:pPr>
              <w:rPr>
                <w:sz w:val="28"/>
                <w:szCs w:val="28"/>
                <w:lang w:val="fr-CA"/>
              </w:rPr>
            </w:pPr>
            <w:r w:rsidRPr="003569D4">
              <w:rPr>
                <w:sz w:val="28"/>
                <w:szCs w:val="28"/>
                <w:lang w:val="fr-CA"/>
              </w:rPr>
              <w:t>Langue</w:t>
            </w:r>
          </w:p>
          <w:p w:rsidR="00544322" w:rsidRPr="003569D4" w:rsidRDefault="00544322">
            <w:pPr>
              <w:rPr>
                <w:sz w:val="28"/>
                <w:szCs w:val="28"/>
                <w:lang w:val="fr-CA"/>
              </w:rPr>
            </w:pPr>
            <w:r w:rsidRPr="003569D4">
              <w:rPr>
                <w:sz w:val="28"/>
                <w:szCs w:val="28"/>
                <w:lang w:val="fr-CA"/>
              </w:rPr>
              <w:t>Logement</w:t>
            </w:r>
          </w:p>
          <w:p w:rsidR="00544322" w:rsidRPr="003569D4" w:rsidRDefault="00544322">
            <w:pPr>
              <w:rPr>
                <w:sz w:val="28"/>
                <w:szCs w:val="28"/>
                <w:lang w:val="fr-CA"/>
              </w:rPr>
            </w:pPr>
            <w:r w:rsidRPr="003569D4">
              <w:rPr>
                <w:sz w:val="28"/>
                <w:szCs w:val="28"/>
                <w:lang w:val="fr-CA"/>
              </w:rPr>
              <w:t>Revenu</w:t>
            </w:r>
          </w:p>
          <w:p w:rsidR="00544322" w:rsidRPr="003569D4" w:rsidRDefault="00544322">
            <w:pPr>
              <w:rPr>
                <w:sz w:val="28"/>
                <w:szCs w:val="28"/>
                <w:lang w:val="fr-CA"/>
              </w:rPr>
            </w:pPr>
            <w:r w:rsidRPr="003569D4">
              <w:rPr>
                <w:sz w:val="28"/>
                <w:szCs w:val="28"/>
                <w:lang w:val="fr-CA"/>
              </w:rPr>
              <w:t>Pondération</w:t>
            </w:r>
          </w:p>
          <w:p w:rsidR="00544322" w:rsidRPr="003569D4" w:rsidRDefault="00544322">
            <w:pPr>
              <w:rPr>
                <w:sz w:val="28"/>
                <w:szCs w:val="28"/>
                <w:lang w:val="fr-CA"/>
              </w:rPr>
            </w:pPr>
            <w:r w:rsidRPr="003569D4">
              <w:rPr>
                <w:sz w:val="28"/>
                <w:szCs w:val="28"/>
                <w:lang w:val="fr-CA"/>
              </w:rPr>
              <w:t>Pondération – Bootstaps pondérés</w:t>
            </w:r>
          </w:p>
          <w:p w:rsidR="00544322" w:rsidRDefault="00544322">
            <w:pPr>
              <w:rPr>
                <w:lang w:val="fr-CA"/>
              </w:rPr>
            </w:pPr>
          </w:p>
          <w:p w:rsidR="00544322" w:rsidRPr="00FC3859" w:rsidRDefault="00544322">
            <w:pPr>
              <w:rPr>
                <w:lang w:val="fr-CA"/>
              </w:rPr>
            </w:pPr>
          </w:p>
        </w:tc>
      </w:tr>
      <w:tr w:rsidR="00544322" w:rsidRPr="00B07E06" w:rsidTr="003569D4">
        <w:trPr>
          <w:trHeight w:val="3345"/>
        </w:trPr>
        <w:tc>
          <w:tcPr>
            <w:tcW w:w="4786" w:type="dxa"/>
            <w:vMerge/>
          </w:tcPr>
          <w:p w:rsidR="00544322" w:rsidRPr="00B07E06" w:rsidRDefault="00544322" w:rsidP="002231C7">
            <w:pPr>
              <w:rPr>
                <w:rFonts w:ascii="Lucida Sans" w:hAnsi="Lucida Sans"/>
                <w:lang w:val="fr-CA"/>
              </w:rPr>
            </w:pPr>
          </w:p>
        </w:tc>
        <w:tc>
          <w:tcPr>
            <w:tcW w:w="425" w:type="dxa"/>
            <w:vMerge/>
          </w:tcPr>
          <w:p w:rsidR="00544322" w:rsidRPr="00B07E06" w:rsidRDefault="00544322" w:rsidP="002231C7">
            <w:pPr>
              <w:rPr>
                <w:lang w:val="fr-CA"/>
              </w:rPr>
            </w:pPr>
          </w:p>
        </w:tc>
        <w:tc>
          <w:tcPr>
            <w:tcW w:w="4365" w:type="dxa"/>
            <w:shd w:val="clear" w:color="auto" w:fill="auto"/>
          </w:tcPr>
          <w:p w:rsidR="00544322" w:rsidRPr="00B07E06" w:rsidRDefault="00544322" w:rsidP="002231C7">
            <w:pPr>
              <w:jc w:val="center"/>
              <w:rPr>
                <w:lang w:val="fr-CA"/>
              </w:rPr>
            </w:pPr>
          </w:p>
        </w:tc>
      </w:tr>
    </w:tbl>
    <w:p w:rsidR="00FC3859" w:rsidRPr="00FC3859" w:rsidRDefault="00FC3859">
      <w:pPr>
        <w:rPr>
          <w:lang w:val="fr-CA"/>
        </w:rPr>
      </w:pPr>
    </w:p>
    <w:sectPr w:rsidR="00FC3859" w:rsidRPr="00FC385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72" w:rsidRDefault="00303E72" w:rsidP="00544322">
      <w:pPr>
        <w:spacing w:after="0" w:line="240" w:lineRule="auto"/>
      </w:pPr>
      <w:r>
        <w:separator/>
      </w:r>
    </w:p>
  </w:endnote>
  <w:endnote w:type="continuationSeparator" w:id="0">
    <w:p w:rsidR="00303E72" w:rsidRDefault="00303E72" w:rsidP="0054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72" w:rsidRPr="00544322" w:rsidRDefault="00303E72">
    <w:pPr>
      <w:pStyle w:val="Footer"/>
      <w:rPr>
        <w:lang w:val="fr-CA"/>
      </w:rPr>
    </w:pPr>
    <w:r>
      <w:fldChar w:fldCharType="begin"/>
    </w:r>
    <w:r w:rsidRPr="00544322">
      <w:rPr>
        <w:lang w:val="fr-CA"/>
      </w:rPr>
      <w:instrText xml:space="preserve"> FILENAME  \p  \* MERGEFORMAT </w:instrText>
    </w:r>
    <w:r>
      <w:fldChar w:fldCharType="separate"/>
    </w:r>
    <w:r w:rsidR="00B07E06">
      <w:rPr>
        <w:noProof/>
        <w:lang w:val="fr-CA"/>
      </w:rPr>
      <w:t>P:\data-service\Policies&amp;Procedures\Groupes-de-variables-Normes-ODESI.docx</w:t>
    </w:r>
    <w:r>
      <w:fldChar w:fldCharType="end"/>
    </w:r>
  </w:p>
  <w:p w:rsidR="00303E72" w:rsidRPr="00544322" w:rsidRDefault="00303E72">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72" w:rsidRDefault="00303E72" w:rsidP="00544322">
      <w:pPr>
        <w:spacing w:after="0" w:line="240" w:lineRule="auto"/>
      </w:pPr>
      <w:r>
        <w:separator/>
      </w:r>
    </w:p>
  </w:footnote>
  <w:footnote w:type="continuationSeparator" w:id="0">
    <w:p w:rsidR="00303E72" w:rsidRDefault="00303E72" w:rsidP="00544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59"/>
    <w:rsid w:val="002231C7"/>
    <w:rsid w:val="00303E72"/>
    <w:rsid w:val="0034500E"/>
    <w:rsid w:val="003569D4"/>
    <w:rsid w:val="00544322"/>
    <w:rsid w:val="00582E6E"/>
    <w:rsid w:val="00B07E06"/>
    <w:rsid w:val="00BB4A2B"/>
    <w:rsid w:val="00C847F0"/>
    <w:rsid w:val="00FC38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322"/>
  </w:style>
  <w:style w:type="paragraph" w:styleId="Footer">
    <w:name w:val="footer"/>
    <w:basedOn w:val="Normal"/>
    <w:link w:val="FooterChar"/>
    <w:uiPriority w:val="99"/>
    <w:unhideWhenUsed/>
    <w:rsid w:val="0054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322"/>
  </w:style>
  <w:style w:type="paragraph" w:styleId="BalloonText">
    <w:name w:val="Balloon Text"/>
    <w:basedOn w:val="Normal"/>
    <w:link w:val="BalloonTextChar"/>
    <w:uiPriority w:val="99"/>
    <w:semiHidden/>
    <w:unhideWhenUsed/>
    <w:rsid w:val="0054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322"/>
  </w:style>
  <w:style w:type="paragraph" w:styleId="Footer">
    <w:name w:val="footer"/>
    <w:basedOn w:val="Normal"/>
    <w:link w:val="FooterChar"/>
    <w:uiPriority w:val="99"/>
    <w:unhideWhenUsed/>
    <w:rsid w:val="0054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322"/>
  </w:style>
  <w:style w:type="paragraph" w:styleId="BalloonText">
    <w:name w:val="Balloon Text"/>
    <w:basedOn w:val="Normal"/>
    <w:link w:val="BalloonTextChar"/>
    <w:uiPriority w:val="99"/>
    <w:semiHidden/>
    <w:unhideWhenUsed/>
    <w:rsid w:val="0054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Marie-Eve Thibault</cp:lastModifiedBy>
  <cp:revision>2</cp:revision>
  <cp:lastPrinted>2012-08-08T19:17:00Z</cp:lastPrinted>
  <dcterms:created xsi:type="dcterms:W3CDTF">2012-08-08T19:36:00Z</dcterms:created>
  <dcterms:modified xsi:type="dcterms:W3CDTF">2012-08-08T19:36:00Z</dcterms:modified>
</cp:coreProperties>
</file>